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2E5C8A"/>
          <w:sz w:val="38"/>
          <w:szCs w:val="38"/>
        </w:rPr>
        <w:t xml:space="preserve">Assessment Task 2: Written Customer Response</w:t>
      </w:r>
    </w:p>
    <w:p>
      <w:pPr>
        <w:spacing w:after="160"/>
      </w:pPr>
      <w:r>
        <w:rPr>
          <w:rFonts w:ascii="Arial" w:cs="Arial" w:eastAsia="Arial" w:hAnsi="Arial"/>
          <w:i/>
          <w:iCs/>
          <w:color w:val="444444"/>
          <w:sz w:val="24"/>
          <w:szCs w:val="24"/>
        </w:rPr>
        <w:t xml:space="preserve">Customer Service Communication Foundations</w:t>
      </w:r>
    </w:p>
    <w:p>
      <w:pPr>
        <w:spacing w:after="110" w:before="240"/>
      </w:pPr>
      <w:r>
        <w:rPr>
          <w:rFonts w:ascii="Arial" w:cs="Arial" w:eastAsia="Arial" w:hAnsi="Arial"/>
          <w:b/>
          <w:bCs/>
          <w:color w:val="1A3A5C"/>
          <w:sz w:val="25"/>
          <w:szCs w:val="25"/>
        </w:rPr>
        <w:t xml:space="preserve">What you will do</w:t>
      </w:r>
    </w:p>
    <w:p>
      <w:pPr>
        <w:spacing w:after="70" w:before="70"/>
      </w:pPr>
      <w:r>
        <w:rPr>
          <w:rFonts w:ascii="Arial" w:cs="Arial" w:eastAsia="Arial" w:hAnsi="Arial"/>
          <w:sz w:val="23"/>
          <w:szCs w:val="23"/>
        </w:rPr>
        <w:t xml:space="preserve">Choose one of the two scenarios provided (Scenario Briefs below). Each scenario gives you an incoming customer email. Write a professional email response (150 to 250 words) that resolves the situation or sets out clear next steps. Submit your response via the LMS dropbox.</w:t>
      </w:r>
    </w:p>
    <w:p>
      <w:pPr>
        <w:spacing w:after="110" w:before="240"/>
      </w:pPr>
      <w:r>
        <w:rPr>
          <w:rFonts w:ascii="Arial" w:cs="Arial" w:eastAsia="Arial" w:hAnsi="Arial"/>
          <w:b/>
          <w:bCs/>
          <w:color w:val="1A3A5C"/>
          <w:sz w:val="25"/>
          <w:szCs w:val="25"/>
        </w:rPr>
        <w:t xml:space="preserve">The email should demonstrate</w:t>
      </w:r>
    </w:p>
    <w:p>
      <w:pPr>
        <w:pStyle w:val="ListParagraph"/>
        <w:numPr>
          <w:ilvl w:val="0"/>
          <w:numId w:val="2"/>
        </w:numPr>
        <w:spacing w:after="50" w:before="50"/>
      </w:pPr>
      <w:r>
        <w:rPr>
          <w:rFonts w:ascii="Arial" w:cs="Arial" w:eastAsia="Arial" w:hAnsi="Arial"/>
          <w:sz w:val="23"/>
          <w:szCs w:val="23"/>
        </w:rPr>
        <w:t xml:space="preserve">A professional greeting and closing.</w:t>
      </w:r>
    </w:p>
    <w:p>
      <w:pPr>
        <w:pStyle w:val="ListParagraph"/>
        <w:numPr>
          <w:ilvl w:val="0"/>
          <w:numId w:val="2"/>
        </w:numPr>
        <w:spacing w:after="50" w:before="50"/>
      </w:pPr>
      <w:r>
        <w:rPr>
          <w:rFonts w:ascii="Arial" w:cs="Arial" w:eastAsia="Arial" w:hAnsi="Arial"/>
          <w:sz w:val="23"/>
          <w:szCs w:val="23"/>
        </w:rPr>
        <w:t xml:space="preserve">Acknowledgement of the customer's concern and emotional state.</w:t>
      </w:r>
    </w:p>
    <w:p>
      <w:pPr>
        <w:pStyle w:val="ListParagraph"/>
        <w:numPr>
          <w:ilvl w:val="0"/>
          <w:numId w:val="2"/>
        </w:numPr>
        <w:spacing w:after="50" w:before="50"/>
      </w:pPr>
      <w:r>
        <w:rPr>
          <w:rFonts w:ascii="Arial" w:cs="Arial" w:eastAsia="Arial" w:hAnsi="Arial"/>
          <w:sz w:val="23"/>
          <w:szCs w:val="23"/>
        </w:rPr>
        <w:t xml:space="preserve">Tone and language adapted to the specific customer and situation.</w:t>
      </w:r>
    </w:p>
    <w:p>
      <w:pPr>
        <w:pStyle w:val="ListParagraph"/>
        <w:numPr>
          <w:ilvl w:val="0"/>
          <w:numId w:val="2"/>
        </w:numPr>
        <w:spacing w:after="50" w:before="50"/>
      </w:pPr>
      <w:r>
        <w:rPr>
          <w:rFonts w:ascii="Arial" w:cs="Arial" w:eastAsia="Arial" w:hAnsi="Arial"/>
          <w:sz w:val="23"/>
          <w:szCs w:val="23"/>
        </w:rPr>
        <w:t xml:space="preserve">Clear, plain language free of jargon and defensiveness.</w:t>
      </w:r>
    </w:p>
    <w:p>
      <w:pPr>
        <w:pStyle w:val="ListParagraph"/>
        <w:numPr>
          <w:ilvl w:val="0"/>
          <w:numId w:val="2"/>
        </w:numPr>
        <w:spacing w:after="50" w:before="50"/>
      </w:pPr>
      <w:r>
        <w:rPr>
          <w:rFonts w:ascii="Arial" w:cs="Arial" w:eastAsia="Arial" w:hAnsi="Arial"/>
          <w:sz w:val="23"/>
          <w:szCs w:val="23"/>
        </w:rPr>
        <w:t xml:space="preserve">A resolution or clear next steps, including who is responsible and by when.</w:t>
      </w:r>
    </w:p>
    <w:p>
      <w:pPr>
        <w:pStyle w:val="ListParagraph"/>
        <w:numPr>
          <w:ilvl w:val="0"/>
          <w:numId w:val="2"/>
        </w:numPr>
        <w:spacing w:after="50" w:before="50"/>
      </w:pPr>
      <w:r>
        <w:rPr>
          <w:rFonts w:ascii="Arial" w:cs="Arial" w:eastAsia="Arial" w:hAnsi="Arial"/>
          <w:sz w:val="23"/>
          <w:szCs w:val="23"/>
        </w:rPr>
        <w:t xml:space="preserve">An appropriate, professional sign-off.</w:t>
      </w:r>
    </w:p>
    <w:p>
      <w:pPr>
        <w:spacing w:after="110" w:before="240"/>
      </w:pPr>
      <w:r>
        <w:rPr>
          <w:rFonts w:ascii="Arial" w:cs="Arial" w:eastAsia="Arial" w:hAnsi="Arial"/>
          <w:b/>
          <w:bCs/>
          <w:color w:val="1A3A5C"/>
          <w:sz w:val="25"/>
          <w:szCs w:val="25"/>
        </w:rPr>
        <w:t xml:space="preserve">Guidance notes for learners</w:t>
      </w:r>
    </w:p>
    <w:p>
      <w:pPr>
        <w:pStyle w:val="ListParagraph"/>
        <w:numPr>
          <w:ilvl w:val="0"/>
          <w:numId w:val="3"/>
        </w:numPr>
        <w:spacing w:after="50" w:before="50"/>
      </w:pPr>
      <w:r>
        <w:rPr>
          <w:rFonts w:ascii="Arial" w:cs="Arial" w:eastAsia="Arial" w:hAnsi="Arial"/>
          <w:sz w:val="23"/>
          <w:szCs w:val="23"/>
        </w:rPr>
        <w:t xml:space="preserve">Read the customer email carefully and respond to what they actually need, not just the surface request.</w:t>
      </w:r>
    </w:p>
    <w:p>
      <w:pPr>
        <w:pStyle w:val="ListParagraph"/>
        <w:numPr>
          <w:ilvl w:val="0"/>
          <w:numId w:val="3"/>
        </w:numPr>
        <w:spacing w:after="50" w:before="50"/>
      </w:pPr>
      <w:r>
        <w:rPr>
          <w:rFonts w:ascii="Arial" w:cs="Arial" w:eastAsia="Arial" w:hAnsi="Arial"/>
          <w:sz w:val="23"/>
          <w:szCs w:val="23"/>
        </w:rPr>
        <w:t xml:space="preserve">Keep the tone warm but professional. Avoid being either too casual or too formal.</w:t>
      </w:r>
    </w:p>
    <w:p>
      <w:pPr>
        <w:pStyle w:val="ListParagraph"/>
        <w:numPr>
          <w:ilvl w:val="0"/>
          <w:numId w:val="3"/>
        </w:numPr>
        <w:spacing w:after="50" w:before="50"/>
      </w:pPr>
      <w:r>
        <w:rPr>
          <w:rFonts w:ascii="Arial" w:cs="Arial" w:eastAsia="Arial" w:hAnsi="Arial"/>
          <w:sz w:val="23"/>
          <w:szCs w:val="23"/>
        </w:rPr>
        <w:t xml:space="preserve">Proofread before submitting. Spelling and grammar count toward professionalism.</w:t>
      </w:r>
    </w:p>
    <w:p>
      <w:pPr>
        <w:pStyle w:val="ListParagraph"/>
        <w:numPr>
          <w:ilvl w:val="0"/>
          <w:numId w:val="3"/>
        </w:numPr>
        <w:spacing w:after="50" w:before="50"/>
      </w:pPr>
      <w:r>
        <w:rPr>
          <w:rFonts w:ascii="Arial" w:cs="Arial" w:eastAsia="Arial" w:hAnsi="Arial"/>
          <w:sz w:val="23"/>
          <w:szCs w:val="23"/>
        </w:rPr>
        <w:t xml:space="preserve">Write the email as you would actually send it (include subject line, greeting, and sign-off).</w:t>
      </w:r>
    </w:p>
    <w:p>
      <w:pPr>
        <w:spacing w:after="110" w:before="240"/>
      </w:pPr>
      <w:r>
        <w:rPr>
          <w:rFonts w:ascii="Arial" w:cs="Arial" w:eastAsia="Arial" w:hAnsi="Arial"/>
          <w:b/>
          <w:bCs/>
          <w:color w:val="1A3A5C"/>
          <w:sz w:val="25"/>
          <w:szCs w:val="25"/>
        </w:rPr>
        <w:t xml:space="preserve">Scenario Briefs</w:t>
      </w:r>
    </w:p>
    <w:p>
      <w:pPr>
        <w:spacing w:after="70" w:before="70"/>
      </w:pPr>
      <w:r>
        <w:rPr>
          <w:rFonts w:ascii="Arial" w:cs="Arial" w:eastAsia="Arial" w:hAnsi="Arial"/>
          <w:sz w:val="23"/>
          <w:szCs w:val="23"/>
        </w:rPr>
        <w:t xml:space="preserve">Choose ONE of the following: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140"/>
              <w:left w:type="dxa" w:w="160"/>
              <w:bottom w:type="dxa" w:w="140"/>
              <w:right w:type="dxa" w:w="160"/>
            </w:tcMar>
          </w:tcPr>
          <w:p>
            <w:pPr>
              <w:spacing w:after="80"/>
            </w:pPr>
            <w:r>
              <w:rPr>
                <w:rFonts w:ascii="Arial" w:cs="Arial" w:eastAsia="Arial" w:hAnsi="Arial"/>
                <w:b/>
                <w:bCs/>
                <w:color w:val="1A3A5C"/>
                <w:sz w:val="24"/>
                <w:szCs w:val="24"/>
              </w:rPr>
              <w:t xml:space="preserve">Scenario A: The Billing Dispute</w:t>
            </w:r>
          </w:p>
          <w:p>
            <w:pPr>
              <w:spacing w:after="30" w:before="30"/>
            </w:pPr>
            <w:r>
              <w:rPr>
                <w:rFonts w:ascii="Arial" w:cs="Arial" w:eastAsia="Arial" w:hAnsi="Arial"/>
                <w:b/>
                <w:bCs/>
                <w:color w:val="333333"/>
                <w:sz w:val="23"/>
                <w:szCs w:val="23"/>
              </w:rPr>
              <w:t xml:space="preserve">Subject: Charged after cancelling, need this fixed</w:t>
            </w:r>
          </w:p>
          <w:p>
            <w:pPr>
              <w:spacing w:after="30" w:before="30"/>
            </w:pPr>
            <w:r>
              <w:rPr>
                <w:rFonts w:ascii="Arial" w:cs="Arial" w:eastAsia="Arial" w:hAnsi="Arial"/>
                <w:b w:val="false"/>
                <w:bCs w:val="false"/>
                <w:color w:val="333333"/>
                <w:sz w:val="23"/>
                <w:szCs w:val="23"/>
              </w:rPr>
              <w:t xml:space="preserve">Hi,</w:t>
            </w:r>
          </w:p>
          <w:p>
            <w:pPr>
              <w:spacing w:after="30" w:before="30"/>
            </w:pPr>
            <w:r>
              <w:rPr>
                <w:rFonts w:ascii="Arial" w:cs="Arial" w:eastAsia="Arial" w:hAnsi="Arial"/>
                <w:b w:val="false"/>
                <w:bCs w:val="false"/>
                <w:color w:val="333333"/>
                <w:sz w:val="23"/>
                <w:szCs w:val="23"/>
              </w:rPr>
              <w:t xml:space="preserve">I cancelled my subscription two months ago and I've just been charged again. I've now spoken to three different people who've all told me something different. One said it was refunded, one said it wasn't, and one didn't get back to me at all. I just want this sorted properly this time. Can someone actually confirm what's happening with my refund and make sure it doesn't happen again?</w:t>
            </w:r>
          </w:p>
          <w:p>
            <w:pPr>
              <w:spacing w:after="30" w:before="30"/>
            </w:pPr>
            <w:r>
              <w:rPr>
                <w:rFonts w:ascii="Arial" w:cs="Arial" w:eastAsia="Arial" w:hAnsi="Arial"/>
                <w:b w:val="false"/>
                <w:bCs w:val="false"/>
                <w:color w:val="333333"/>
                <w:sz w:val="23"/>
                <w:szCs w:val="23"/>
              </w:rPr>
              <w:t xml:space="preserve">Regards, Sam</w:t>
            </w:r>
          </w:p>
        </w:tc>
      </w:tr>
    </w:tbl>
    <w:p>
      <w:pPr>
        <w:spacing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140"/>
              <w:left w:type="dxa" w:w="160"/>
              <w:bottom w:type="dxa" w:w="140"/>
              <w:right w:type="dxa" w:w="160"/>
            </w:tcMar>
          </w:tcPr>
          <w:p>
            <w:pPr>
              <w:spacing w:after="80"/>
            </w:pPr>
            <w:r>
              <w:rPr>
                <w:rFonts w:ascii="Arial" w:cs="Arial" w:eastAsia="Arial" w:hAnsi="Arial"/>
                <w:b/>
                <w:bCs/>
                <w:color w:val="1A3A5C"/>
                <w:sz w:val="24"/>
                <w:szCs w:val="24"/>
              </w:rPr>
              <w:t xml:space="preserve">Scenario B: The Escalation</w:t>
            </w:r>
          </w:p>
          <w:p>
            <w:pPr>
              <w:spacing w:after="30" w:before="30"/>
            </w:pPr>
            <w:r>
              <w:rPr>
                <w:rFonts w:ascii="Arial" w:cs="Arial" w:eastAsia="Arial" w:hAnsi="Arial"/>
                <w:b/>
                <w:bCs/>
                <w:color w:val="333333"/>
                <w:sz w:val="23"/>
                <w:szCs w:val="23"/>
              </w:rPr>
              <w:t xml:space="preserve">Subject: Still waiting, about to leave a review</w:t>
            </w:r>
          </w:p>
          <w:p>
            <w:pPr>
              <w:spacing w:after="30" w:before="30"/>
            </w:pPr>
            <w:r>
              <w:rPr>
                <w:rFonts w:ascii="Arial" w:cs="Arial" w:eastAsia="Arial" w:hAnsi="Arial"/>
                <w:b w:val="false"/>
                <w:bCs w:val="false"/>
                <w:color w:val="333333"/>
                <w:sz w:val="23"/>
                <w:szCs w:val="23"/>
              </w:rPr>
              <w:t xml:space="preserve">Hi,</w:t>
            </w:r>
          </w:p>
          <w:p>
            <w:pPr>
              <w:spacing w:after="30" w:before="30"/>
            </w:pPr>
            <w:r>
              <w:rPr>
                <w:rFonts w:ascii="Arial" w:cs="Arial" w:eastAsia="Arial" w:hAnsi="Arial"/>
                <w:b w:val="false"/>
                <w:bCs w:val="false"/>
                <w:color w:val="333333"/>
                <w:sz w:val="23"/>
                <w:szCs w:val="23"/>
              </w:rPr>
              <w:t xml:space="preserve">I've contacted you twice today already and nobody has helped me. My order was supposed to arrive last week, I've heard nothing, and I'm getting passed around between people who clearly haven't read my previous messages. I'm honestly at the point of leaving a review and taking my business elsewhere. If someone can't sort this out today, that's exactly what I'll do.</w:t>
            </w:r>
          </w:p>
          <w:p>
            <w:pPr>
              <w:spacing w:after="30" w:before="30"/>
            </w:pPr>
            <w:r>
              <w:rPr>
                <w:rFonts w:ascii="Arial" w:cs="Arial" w:eastAsia="Arial" w:hAnsi="Arial"/>
                <w:b w:val="false"/>
                <w:bCs w:val="false"/>
                <w:color w:val="333333"/>
                <w:sz w:val="23"/>
                <w:szCs w:val="23"/>
              </w:rPr>
              <w:t xml:space="preserve">Dave</w:t>
            </w:r>
          </w:p>
        </w:tc>
      </w:tr>
    </w:tbl>
    <w:p>
      <w:pPr>
        <w:sectPr>
          <w:pgSz w:w="12240" w:h="15840" w:orient="portrait"/>
          <w:pgMar w:top="1440" w:right="1440" w:bottom="1440" w:left="1440" w:header="708" w:footer="708" w:gutter="0"/>
          <w:pgNumType/>
          <w:docGrid w:linePitch="360"/>
        </w:sectPr>
      </w:pPr>
    </w:p>
    <w:p>
      <w:pPr>
        <w:spacing w:after="80"/>
      </w:pPr>
      <w:r>
        <w:rPr>
          <w:rFonts w:ascii="Arial" w:cs="Arial" w:eastAsia="Arial" w:hAnsi="Arial"/>
          <w:b/>
          <w:bCs/>
          <w:color w:val="2E5C8A"/>
          <w:sz w:val="32"/>
          <w:szCs w:val="32"/>
        </w:rPr>
        <w:t xml:space="preserve">Marking Rubric: Written Customer Response</w:t>
      </w:r>
    </w:p>
    <w:p>
      <w:pPr>
        <w:spacing w:after="160"/>
      </w:pPr>
      <w:r>
        <w:rPr>
          <w:rFonts w:ascii="Arial" w:cs="Arial" w:eastAsia="Arial" w:hAnsi="Arial"/>
          <w:i/>
          <w:iCs/>
          <w:color w:val="444444"/>
          <w:sz w:val="22"/>
          <w:szCs w:val="22"/>
        </w:rPr>
        <w:t xml:space="preserve">Total: 100 points. Each criterion is marked out of 25.</w:t>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2600"/>
        <w:gridCol w:w="900"/>
        <w:gridCol w:w="3393"/>
        <w:gridCol w:w="3393"/>
        <w:gridCol w:w="3394"/>
      </w:tblGrid>
      <w:tr>
        <w:trPr>
          <w:tblHeader/>
        </w:trPr>
        <w:tc>
          <w:tcPr>
            <w:tcW w:type="dxa" w:w="2600"/>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Criteria</w:t>
            </w:r>
          </w:p>
        </w:tc>
        <w:tc>
          <w:tcPr>
            <w:tcW w:type="dxa" w:w="900"/>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Points</w:t>
            </w:r>
          </w:p>
        </w:tc>
        <w:tc>
          <w:tcPr>
            <w:tcW w:type="dxa" w:w="3393"/>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Exceeds expectations</w:t>
            </w:r>
          </w:p>
        </w:tc>
        <w:tc>
          <w:tcPr>
            <w:tcW w:type="dxa" w:w="3393"/>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Meets expectations</w:t>
            </w:r>
          </w:p>
        </w:tc>
        <w:tc>
          <w:tcPr>
            <w:tcW w:type="dxa" w:w="3394"/>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Working towards</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sz w:val="20"/>
                <w:szCs w:val="20"/>
              </w:rPr>
              <w:t xml:space="preserve">Professional structure: greeting, subject line, closing, sign-off</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Structure is complete, polished, and professional throughout.</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Structure is professional with minor lapses.</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Structure is incomplete or unprofessional.</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sz w:val="20"/>
                <w:szCs w:val="20"/>
              </w:rPr>
              <w:t xml:space="preserve">Acknowledgement and tone: recognises the customer's concern and emotional state, adapts tone</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Acknowledges concern with genuine, well-judged empathy; tone is precisely matched to the customer.</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Acknowledges concern clearly; tone fits the customer well.</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Little or no acknowledgement; tone inappropriate or dismissive.</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sz w:val="20"/>
                <w:szCs w:val="20"/>
              </w:rPr>
              <w:t xml:space="preserve">Clarity and language: plain, clear, jargon-free, non-defensive</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Language is clear, concise, and entirely free of jargon or defensiveness.</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Language is clear with minor issues.</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Language is unclear, jargon-heavy, or defensive.</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sz w:val="20"/>
                <w:szCs w:val="20"/>
              </w:rPr>
              <w:t xml:space="preserve">Resolution and next steps: provides a clear outcome, ownership, and timeframe</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Resolution is clear and complete, with explicit ownership and timeframe; customer would not need to chase.</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Resolution is clear with next steps stated.</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sz w:val="20"/>
                <w:szCs w:val="20"/>
              </w:rPr>
              <w:t xml:space="preserve">No clear resolution or next steps.</w:t>
            </w:r>
          </w:p>
        </w:tc>
      </w:tr>
    </w:tbl>
    <w:p>
      <w:pPr>
        <w:spacing w:before="200"/>
      </w:pPr>
      <w:r>
        <w:rPr>
          <w:rFonts w:ascii="Arial" w:cs="Arial" w:eastAsia="Arial" w:hAnsi="Arial"/>
          <w:i/>
          <w:iCs/>
          <w:color w:val="555555"/>
          <w:sz w:val="20"/>
          <w:szCs w:val="20"/>
        </w:rPr>
        <w:t xml:space="preserve">Note: learners should reach Meets expectations or above on every criterion to demonstrate competence.</w:t>
      </w:r>
    </w:p>
    <w:sectPr>
      <w:pgSz w:w="12240" w:h="15840"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2026-06-14T04:06:22.761Z</dcterms:created>
  <dcterms:modified xsi:type="dcterms:W3CDTF">2026-06-14T04:06:22.761Z</dcterms:modified>
</cp:coreProperties>
</file>

<file path=docProps/custom.xml><?xml version="1.0" encoding="utf-8"?>
<Properties xmlns="http://schemas.openxmlformats.org/officeDocument/2006/custom-properties" xmlns:vt="http://schemas.openxmlformats.org/officeDocument/2006/docPropsVTypes"/>
</file>